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0ABA" w:rsidRDefault="00000000">
      <w:pPr>
        <w:pStyle w:val="Nadpis1"/>
        <w:jc w:val="center"/>
      </w:pPr>
      <w:r>
        <w:t>Témata ze Souhrnné zprávy Synody biskupů, říjen 2023</w:t>
      </w:r>
    </w:p>
    <w:p w14:paraId="00000002" w14:textId="77777777" w:rsidR="00F40ABA" w:rsidRDefault="00000000">
      <w:pPr>
        <w:pStyle w:val="Nadpis2"/>
        <w:numPr>
          <w:ilvl w:val="0"/>
          <w:numId w:val="2"/>
        </w:numPr>
        <w:jc w:val="center"/>
      </w:pPr>
      <w:r>
        <w:t>ke konzultaci v diecézi a “vybrané skupiny” -</w:t>
      </w:r>
    </w:p>
    <w:p w14:paraId="00000003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Vyberte si oblast podle toho, do které „vybrané skupiny“ patříte. </w:t>
      </w:r>
    </w:p>
    <w:p w14:paraId="00000005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Dané téma by se mělo týkat vašeho života v církvi, tj. vaší zkušenosti a zapojení v životě církve.</w:t>
      </w:r>
    </w:p>
    <w:p w14:paraId="00000006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07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Podívejte se na vybranou oblast ze souhrnné zprávy ve světle následujících otázek:</w:t>
      </w:r>
    </w:p>
    <w:p w14:paraId="00000008" w14:textId="77777777" w:rsidR="00F40A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Jakými cestami bychom se mohli ubírat, aby se posílil přínos každého pokřtěného a místní církve na misijním poslání církve?</w:t>
      </w:r>
    </w:p>
    <w:p w14:paraId="00000009" w14:textId="77777777" w:rsidR="00F40A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v této oblasti žijeme? Svědectví a příklady osvědčených postupů.</w:t>
      </w:r>
    </w:p>
    <w:p w14:paraId="0000000A" w14:textId="77777777" w:rsidR="00F40ABA" w:rsidRDefault="00F4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40ABA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1./ Církev je poslání</w:t>
      </w:r>
    </w:p>
    <w:p w14:paraId="0000000C" w14:textId="77777777" w:rsidR="00F40ABA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kněží, lektoři/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společenství mladých lidí, manželské páry, pracovníci/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pro rodinu a pro mládež</w:t>
      </w:r>
      <w:sdt>
        <w:sdtPr>
          <w:tag w:val="goog_rdk_0"/>
          <w:id w:val="-1228065517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děkanátech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D" w14:textId="77777777" w:rsidR="00F40AB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Část II/ kap. 8</w:t>
      </w:r>
    </w:p>
    <w:p w14:paraId="0000000E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„Potřebujeme vetší kreativitu při vytváření služeb podle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potřeb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místních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zejména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zapojení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mladých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lidí. Lze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uvažovat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dalším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rozšířeni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odpovědnosti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přidělených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stávajíci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službe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lektora,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neomezuje jen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působeni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liturgii. Mohla by se tak z ní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plněji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služba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Božímu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by 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vhodných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kontextech mohla zahrnovat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kázáni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Může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rovněz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prozkoumat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možnost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ustanovení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služby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přidělene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manželským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párům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by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věnovaly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podpoře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rodinného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života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doprovázeni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lidí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připravujících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svátost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manželstvi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́.“</w:t>
      </w:r>
    </w:p>
    <w:p w14:paraId="00000010" w14:textId="77777777" w:rsidR="00F40AB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11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40ABA" w:rsidRDefault="00F40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40ABA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2./ Ženy v životě a poslání církve</w:t>
      </w:r>
    </w:p>
    <w:p w14:paraId="00000014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společenství žen, společenství Modlit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matek, řeholnice, pracovnice center pro rodinu </w:t>
      </w:r>
      <w:sdt>
        <w:sdtPr>
          <w:tag w:val="goog_rdk_1"/>
          <w:id w:val="2005923811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děkanátech, společenství mladých lidí</w:t>
      </w:r>
    </w:p>
    <w:p w14:paraId="00000015" w14:textId="77777777" w:rsidR="00F40AB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Část II/ kap.9</w:t>
      </w:r>
    </w:p>
    <w:p w14:paraId="00000016" w14:textId="77777777" w:rsidR="00F40ABA" w:rsidRDefault="00F40A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7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Církve po celém světě vyjádřily jasnou žádost, aby aktivní přínos žen došel uznání</w:t>
      </w:r>
    </w:p>
    <w:p w14:paraId="00000018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docenění a aby ve všech oblastech života a poslání církve vzrostla jejich pastorační</w:t>
      </w:r>
    </w:p>
    <w:p w14:paraId="00000019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zodpovědnost. Jak může církev do stávajících úloh a služeb zapojit více žen, aby se lépe</w:t>
      </w:r>
    </w:p>
    <w:p w14:paraId="0000001A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projevily dary a charismata všech a aby lépe reagovaly na pastorační potřeby? A pokud</w:t>
      </w:r>
    </w:p>
    <w:p w14:paraId="0000001B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jsou zapotřebí nové služby, kdo je má rozlišovat, na jakých úrovních a jakým způsobem?</w:t>
      </w:r>
    </w:p>
    <w:p w14:paraId="0000001C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F40ABA" w:rsidRDefault="00F40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40ABA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lastRenderedPageBreak/>
        <w:t>3./ Zasvěcený život a laická sdružení a hnutí: charismatické znamení</w:t>
      </w:r>
    </w:p>
    <w:p w14:paraId="0000001F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charismatická hnutí, řeholníci/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terciáři/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zasvěcené panny</w:t>
      </w:r>
    </w:p>
    <w:p w14:paraId="00000020" w14:textId="77777777" w:rsidR="00F40AB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Část II/ kap.10</w:t>
      </w:r>
    </w:p>
    <w:p w14:paraId="00000021" w14:textId="77777777" w:rsidR="00F40ABA" w:rsidRDefault="00F40A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„Je třeba rozvíjet způsob, jak zasvěcený život i laická sdružení, církevní hnutí a nová společenství mohou svá charismata vkládat do služeb společenství a misijního poslání místních církví (diecézí, farností), a přispívat tak k rozvoji stávajících cest ke svatosti o prorockou přítomnost. Je např. možné vytvořit na rovině diecézí poradní orgán k setkávání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diskuzi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zástupců řeholních a laických sdružení tak, aby se podpořily trvalé vztahy mezi jejich životem a posláním a životem a posláním místních církví?“</w:t>
      </w:r>
    </w:p>
    <w:p w14:paraId="00000023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F40ABA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4./ Jáhni a kněží v synodální církvi</w:t>
      </w:r>
    </w:p>
    <w:p w14:paraId="00000025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trvalí jáhni, kněží, pastorační rady, pastorační asistenti/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proofErr w:type="spellEnd"/>
    </w:p>
    <w:p w14:paraId="00000026" w14:textId="77777777" w:rsidR="00F40AB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Část II/ kap.11</w:t>
      </w:r>
    </w:p>
    <w:p w14:paraId="00000027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„Zásadní význam pro to, abychom mohli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pokročit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budováni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synodálni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transparentnost a kultura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odpovědnosti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Žádáme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místni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stanovily procesy a struktury,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umožni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pravidelne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prověřovat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zodpovědne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kněži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jáhni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chovaji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výkonu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služby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Východiskem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 tuto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práci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stávajíci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instituce, jako jsou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orgány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(např. pastorační rady farností)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pastoračni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návštěvy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přičemz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třeba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zapojení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společenstvi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́. Tyto formy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třeba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přizpůsobit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místním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podmínkám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různým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nefungovaly jen jako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překážka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byrokraticka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zátěz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Rozlišováni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druh procesu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zapotřebi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́, lze podle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úvahy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provádět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regionální nebo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kontinentálni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úrovni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</w:p>
    <w:p w14:paraId="00000029" w14:textId="77777777" w:rsidR="00F40ABA" w:rsidRDefault="00F40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F40ABA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5./ Biskup v církevním společenství</w:t>
      </w:r>
    </w:p>
    <w:p w14:paraId="0000002B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ekonomické rady farnosti, pastorační rady farnosti, </w:t>
      </w:r>
      <w:sdt>
        <w:sdtPr>
          <w:tag w:val="goog_rdk_2"/>
          <w:id w:val="294341217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křesťanští podnikatelé (Kompas,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ekonomická rada diecéze</w:t>
      </w:r>
    </w:p>
    <w:p w14:paraId="0000002C" w14:textId="77777777" w:rsidR="00F40AB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Část II, kap. 12</w:t>
      </w:r>
    </w:p>
    <w:p w14:paraId="0000002D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„Formou,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ješte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právne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definována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třeba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zavést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struktury a postupy pro pravidelnou kontrolu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činnosti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biskupa, a to s ohledem na styl jeho autority, ekonomickou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správu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diecézního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majetku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fungováni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participativních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orgánu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̊ i ochranu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všemi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možnými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druhy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zneužiti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́. Kultura zodpovědnosti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nedílnou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součásti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synodálni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podporuje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spoluzodpovědnost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ochranu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zneužíváním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</w:p>
    <w:p w14:paraId="0000002F" w14:textId="77777777" w:rsidR="00F40ABA" w:rsidRDefault="00F40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F40ABA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 xml:space="preserve">6./ </w:t>
      </w:r>
      <w:proofErr w:type="gramStart"/>
      <w:r>
        <w:rPr>
          <w:i/>
          <w:color w:val="4472C4"/>
        </w:rPr>
        <w:t>Církev</w:t>
      </w:r>
      <w:proofErr w:type="gramEnd"/>
      <w:r>
        <w:rPr>
          <w:i/>
          <w:color w:val="4472C4"/>
        </w:rPr>
        <w:t xml:space="preserve"> která naslouchá a doprovází</w:t>
      </w:r>
    </w:p>
    <w:p w14:paraId="00000031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Skupiny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malá společenství, společenství mladých lidí, studentská hnutí, charitní pracovníci/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nemocniční kaplanky/kaplani, pracovníci/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 pro mládež</w:t>
      </w:r>
    </w:p>
    <w:p w14:paraId="00000032" w14:textId="77777777" w:rsidR="00F40ABA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Část III, kap. 16</w:t>
      </w:r>
    </w:p>
    <w:p w14:paraId="00000033" w14:textId="77777777" w:rsidR="00F40ABA" w:rsidRDefault="00F4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„Co by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mělo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změnit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ti,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kteři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vyloučeni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zakoušeli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přívětivějši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Nasloucháni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doprovázeni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nejsou jen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činnost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jednotlivcu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̊, ale 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působeni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celé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se proto pro ně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najít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prostor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rámci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křesťanských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společenstvi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různých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úrovních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se duchovní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doprovázeni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využívalo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Synodálni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být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církvi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naslouchajíci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́, a tento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závazek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třeba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převést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praxe.“</w:t>
      </w:r>
    </w:p>
    <w:p w14:paraId="00000035" w14:textId="77777777" w:rsidR="00F40ABA" w:rsidRDefault="00F40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F40ABA" w:rsidRDefault="0000000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7./ Struktury spoluúčasti</w:t>
      </w:r>
    </w:p>
    <w:p w14:paraId="00000037" w14:textId="77777777" w:rsidR="00F40ABA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Skupiny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malá společenství, pastorační rady farností, charismatická hnutí, studentská hnutí, církevní školy</w:t>
      </w:r>
    </w:p>
    <w:p w14:paraId="00000038" w14:textId="77777777" w:rsidR="00F40ABA" w:rsidRDefault="0000000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Část III, Kap. 18</w:t>
      </w:r>
    </w:p>
    <w:p w14:paraId="00000039" w14:textId="77777777" w:rsidR="00F40AB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Synodalita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roste tehdy, když se každý člen zapojuje do procesů a rozhodování o poslání církve. </w:t>
      </w:r>
    </w:p>
    <w:p w14:paraId="0000003A" w14:textId="77777777" w:rsidR="00F40ABA" w:rsidRDefault="000000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proto je třeba se ptát, jak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můžeme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propojit poradní a rozhodovací aspekty synodality věřících v konkrétních společenstvích? Jak lze vzhledem k rozmanitosti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charismatických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služebných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darů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Božího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lidu na rovině společenství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farností)  integrovat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úkoly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rozlišováni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rozhodováni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́ prostřednictvím farních rad ale i mimo ně?“</w:t>
      </w:r>
    </w:p>
    <w:sectPr w:rsidR="00F40A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A46"/>
    <w:multiLevelType w:val="multilevel"/>
    <w:tmpl w:val="ABAE9E6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1F1145"/>
    <w:multiLevelType w:val="multilevel"/>
    <w:tmpl w:val="8B06D80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5849716">
    <w:abstractNumId w:val="0"/>
  </w:num>
  <w:num w:numId="2" w16cid:durableId="26951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BA"/>
    <w:rsid w:val="00115763"/>
    <w:rsid w:val="00F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B9347-7BF9-4C9D-A9A5-CC691EF1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2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19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4A62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D28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28FE"/>
    <w:rPr>
      <w:i/>
      <w:iCs/>
      <w:color w:val="4472C4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2D2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D28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D2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28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2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8FE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9l1a86UJHOZAZ1n14pYYNMNToQ==">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tým | dominikáni Olomouc</dc:creator>
  <cp:lastModifiedBy>Jan Berka</cp:lastModifiedBy>
  <cp:revision>2</cp:revision>
  <dcterms:created xsi:type="dcterms:W3CDTF">2024-01-27T10:10:00Z</dcterms:created>
  <dcterms:modified xsi:type="dcterms:W3CDTF">2024-02-14T21:05:00Z</dcterms:modified>
</cp:coreProperties>
</file>